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089" w:rsidRDefault="00BE033A">
      <w:pPr>
        <w:spacing w:line="480" w:lineRule="exact"/>
        <w:rPr>
          <w:rFonts w:ascii="方正黑体_GBK" w:eastAsia="方正黑体_GBK" w:hAnsi="方正黑体_GBK" w:cs="方正黑体_GBK"/>
          <w:sz w:val="32"/>
        </w:rPr>
      </w:pPr>
      <w:r>
        <w:rPr>
          <w:rFonts w:ascii="方正黑体_GBK" w:eastAsia="方正黑体_GBK" w:hAnsi="方正黑体_GBK" w:cs="方正黑体_GBK" w:hint="eastAsia"/>
          <w:sz w:val="32"/>
        </w:rPr>
        <w:t>京财</w:t>
      </w:r>
      <w:bookmarkStart w:id="0" w:name="jingcai"/>
      <w:r>
        <w:rPr>
          <w:rFonts w:ascii="方正黑体_GBK" w:eastAsia="方正黑体_GBK" w:hAnsi="方正黑体_GBK" w:cs="方正黑体_GBK" w:hint="eastAsia"/>
          <w:sz w:val="32"/>
        </w:rPr>
        <w:t>绩效</w:t>
      </w:r>
      <w:bookmarkEnd w:id="0"/>
      <w:r>
        <w:rPr>
          <w:rFonts w:ascii="方正黑体_GBK" w:eastAsia="方正黑体_GBK" w:hAnsi="方正黑体_GBK" w:cs="方正黑体_GBK" w:hint="eastAsia"/>
          <w:sz w:val="32"/>
        </w:rPr>
        <w:t>〔</w:t>
      </w:r>
      <w:bookmarkStart w:id="1" w:name="nianfen"/>
      <w:r>
        <w:rPr>
          <w:rFonts w:ascii="方正黑体_GBK" w:eastAsia="方正黑体_GBK" w:hAnsi="方正黑体_GBK" w:cs="方正黑体_GBK" w:hint="eastAsia"/>
          <w:sz w:val="32"/>
        </w:rPr>
        <w:t>2022</w:t>
      </w:r>
      <w:bookmarkEnd w:id="1"/>
      <w:r>
        <w:rPr>
          <w:rFonts w:ascii="方正黑体_GBK" w:eastAsia="方正黑体_GBK" w:hAnsi="方正黑体_GBK" w:cs="方正黑体_GBK" w:hint="eastAsia"/>
          <w:sz w:val="32"/>
        </w:rPr>
        <w:t>〕</w:t>
      </w:r>
      <w:bookmarkStart w:id="2" w:name="bumenhao"/>
      <w:r>
        <w:rPr>
          <w:rFonts w:ascii="方正黑体_GBK" w:eastAsia="方正黑体_GBK" w:hAnsi="方正黑体_GBK" w:cs="方正黑体_GBK" w:hint="eastAsia"/>
          <w:sz w:val="32"/>
        </w:rPr>
        <w:t>669</w:t>
      </w:r>
      <w:bookmarkEnd w:id="2"/>
      <w:r>
        <w:rPr>
          <w:rFonts w:ascii="方正黑体_GBK" w:eastAsia="方正黑体_GBK" w:hAnsi="方正黑体_GBK" w:cs="方正黑体_GBK" w:hint="eastAsia"/>
          <w:sz w:val="32"/>
        </w:rPr>
        <w:t>号附件</w:t>
      </w:r>
      <w:r>
        <w:rPr>
          <w:rFonts w:ascii="方正黑体_GBK" w:eastAsia="方正黑体_GBK" w:hAnsi="方正黑体_GBK" w:cs="方正黑体_GBK" w:hint="eastAsia"/>
          <w:sz w:val="32"/>
        </w:rPr>
        <w:t>1</w:t>
      </w:r>
    </w:p>
    <w:p w:rsidR="00F06089" w:rsidRDefault="00BE033A">
      <w:pPr>
        <w:spacing w:line="48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1-1</w:t>
      </w:r>
    </w:p>
    <w:p w:rsidR="00F06089" w:rsidRDefault="00BE033A">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F06089" w:rsidRDefault="00BE033A">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2021</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年度）</w:t>
      </w:r>
    </w:p>
    <w:p w:rsidR="00F06089" w:rsidRDefault="00F06089">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127"/>
        <w:gridCol w:w="283"/>
        <w:gridCol w:w="849"/>
        <w:gridCol w:w="848"/>
        <w:gridCol w:w="279"/>
        <w:gridCol w:w="284"/>
        <w:gridCol w:w="420"/>
        <w:gridCol w:w="143"/>
        <w:gridCol w:w="703"/>
        <w:gridCol w:w="710"/>
      </w:tblGrid>
      <w:tr w:rsidR="00F0608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113203-</w:t>
            </w:r>
            <w:r>
              <w:rPr>
                <w:rFonts w:ascii="仿宋_GB2312" w:eastAsia="仿宋_GB2312" w:hAnsi="宋体" w:cs="宋体" w:hint="eastAsia"/>
                <w:kern w:val="0"/>
                <w:szCs w:val="21"/>
              </w:rPr>
              <w:t>特高建设</w:t>
            </w:r>
            <w:r>
              <w:rPr>
                <w:rFonts w:ascii="仿宋_GB2312" w:eastAsia="仿宋_GB2312" w:hAnsi="宋体" w:cs="宋体" w:hint="eastAsia"/>
                <w:kern w:val="0"/>
                <w:szCs w:val="21"/>
              </w:rPr>
              <w:t>-</w:t>
            </w:r>
            <w:r>
              <w:rPr>
                <w:rFonts w:ascii="仿宋_GB2312" w:eastAsia="仿宋_GB2312" w:hAnsi="宋体" w:cs="宋体" w:hint="eastAsia"/>
                <w:kern w:val="0"/>
                <w:szCs w:val="21"/>
              </w:rPr>
              <w:t>特高院校</w:t>
            </w:r>
            <w:r>
              <w:rPr>
                <w:rFonts w:ascii="仿宋_GB2312" w:eastAsia="仿宋_GB2312" w:hAnsi="宋体" w:cs="宋体" w:hint="eastAsia"/>
                <w:kern w:val="0"/>
                <w:szCs w:val="21"/>
              </w:rPr>
              <w:t>-3.4.</w:t>
            </w:r>
            <w:r>
              <w:rPr>
                <w:rFonts w:ascii="仿宋_GB2312" w:eastAsia="仿宋_GB2312" w:hAnsi="宋体" w:cs="宋体" w:hint="eastAsia"/>
                <w:kern w:val="0"/>
                <w:szCs w:val="21"/>
              </w:rPr>
              <w:t>5</w:t>
            </w:r>
            <w:r>
              <w:rPr>
                <w:rFonts w:ascii="仿宋_GB2312" w:eastAsia="仿宋_GB2312" w:hAnsi="宋体" w:cs="宋体" w:hint="eastAsia"/>
                <w:kern w:val="0"/>
                <w:szCs w:val="21"/>
              </w:rPr>
              <w:t>文化创意专业群</w:t>
            </w:r>
          </w:p>
        </w:tc>
      </w:tr>
      <w:tr w:rsidR="00F0608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北京化学工业集团有限责任公司</w:t>
            </w:r>
          </w:p>
        </w:tc>
        <w:tc>
          <w:tcPr>
            <w:tcW w:w="1127"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北京市工业技师学院</w:t>
            </w:r>
          </w:p>
        </w:tc>
      </w:tr>
      <w:tr w:rsidR="00F0608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杨金青</w:t>
            </w:r>
          </w:p>
        </w:tc>
        <w:tc>
          <w:tcPr>
            <w:tcW w:w="1127"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13641165738</w:t>
            </w:r>
          </w:p>
        </w:tc>
      </w:tr>
      <w:tr w:rsidR="00F0608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F06089">
        <w:trPr>
          <w:trHeight w:hRule="exact" w:val="735"/>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102.24</w:t>
            </w:r>
          </w:p>
        </w:tc>
        <w:tc>
          <w:tcPr>
            <w:tcW w:w="1132"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102.24</w:t>
            </w:r>
          </w:p>
        </w:tc>
        <w:tc>
          <w:tcPr>
            <w:tcW w:w="1127"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100.93</w:t>
            </w:r>
          </w:p>
        </w:tc>
        <w:tc>
          <w:tcPr>
            <w:tcW w:w="704"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98.72%</w:t>
            </w:r>
          </w:p>
        </w:tc>
        <w:tc>
          <w:tcPr>
            <w:tcW w:w="710" w:type="dxa"/>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9.87</w:t>
            </w:r>
          </w:p>
        </w:tc>
      </w:tr>
      <w:tr w:rsidR="00F0608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102.24</w:t>
            </w:r>
          </w:p>
        </w:tc>
        <w:tc>
          <w:tcPr>
            <w:tcW w:w="1132"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102.24</w:t>
            </w:r>
          </w:p>
        </w:tc>
        <w:tc>
          <w:tcPr>
            <w:tcW w:w="1127"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100.93</w:t>
            </w:r>
          </w:p>
        </w:tc>
        <w:tc>
          <w:tcPr>
            <w:tcW w:w="704"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98.72%</w:t>
            </w:r>
          </w:p>
        </w:tc>
        <w:tc>
          <w:tcPr>
            <w:tcW w:w="710" w:type="dxa"/>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bookmarkStart w:id="3" w:name="_GoBack"/>
            <w:r w:rsidRPr="00FF6993">
              <w:rPr>
                <w:rFonts w:ascii="仿宋_GB2312" w:eastAsia="仿宋_GB2312" w:hAnsi="宋体" w:cs="宋体" w:hint="eastAsia"/>
                <w:kern w:val="0"/>
                <w:szCs w:val="21"/>
              </w:rPr>
              <w:t>9.87</w:t>
            </w:r>
            <w:bookmarkEnd w:id="3"/>
          </w:p>
        </w:tc>
      </w:tr>
      <w:tr w:rsidR="00F0608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132"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127"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04"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0608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132"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127"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04" w:type="dxa"/>
            <w:gridSpan w:val="2"/>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0608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r>
              <w:rPr>
                <w:rFonts w:ascii="仿宋_GB2312" w:eastAsia="仿宋_GB2312" w:hAnsi="宋体" w:cs="宋体" w:hint="eastAsia"/>
                <w:kern w:val="0"/>
                <w:szCs w:val="21"/>
              </w:rPr>
              <w:lastRenderedPageBreak/>
              <w:t>总体目标</w:t>
            </w:r>
          </w:p>
        </w:tc>
        <w:tc>
          <w:tcPr>
            <w:tcW w:w="5066" w:type="dxa"/>
            <w:gridSpan w:val="6"/>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预期目标</w:t>
            </w:r>
          </w:p>
        </w:tc>
        <w:tc>
          <w:tcPr>
            <w:tcW w:w="3387" w:type="dxa"/>
            <w:gridSpan w:val="7"/>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F06089">
        <w:trPr>
          <w:trHeight w:hRule="exact" w:val="9782"/>
          <w:jc w:val="center"/>
        </w:trPr>
        <w:tc>
          <w:tcPr>
            <w:tcW w:w="585" w:type="dxa"/>
            <w:vMerge/>
            <w:tcBorders>
              <w:top w:val="nil"/>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 xml:space="preserve"> 2021</w:t>
            </w:r>
            <w:r>
              <w:rPr>
                <w:rFonts w:ascii="仿宋_GB2312" w:eastAsia="仿宋_GB2312" w:hAnsi="宋体" w:cs="宋体" w:hint="eastAsia"/>
                <w:kern w:val="0"/>
                <w:szCs w:val="21"/>
              </w:rPr>
              <w:t>年实现支出</w:t>
            </w:r>
            <w:r>
              <w:rPr>
                <w:rFonts w:ascii="仿宋_GB2312" w:eastAsia="仿宋_GB2312" w:hAnsi="宋体" w:cs="宋体" w:hint="eastAsia"/>
                <w:kern w:val="0"/>
                <w:szCs w:val="21"/>
              </w:rPr>
              <w:t>102.2439</w:t>
            </w:r>
            <w:r>
              <w:rPr>
                <w:rFonts w:ascii="仿宋_GB2312" w:eastAsia="仿宋_GB2312" w:hAnsi="宋体" w:cs="宋体" w:hint="eastAsia"/>
                <w:kern w:val="0"/>
                <w:szCs w:val="21"/>
              </w:rPr>
              <w:t>万元，目标：</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hint="eastAsia"/>
                <w:kern w:val="0"/>
                <w:szCs w:val="21"/>
              </w:rPr>
              <w:t>、进一步深化课程改革，发挥专业课在落实立德树人根本任务中的作用。创新教育手段，加强实践养成，实现教学小课堂与社会大课堂有机融合。</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修订完善多媒体制作</w:t>
            </w:r>
            <w:r>
              <w:rPr>
                <w:rFonts w:ascii="仿宋_GB2312" w:eastAsia="仿宋_GB2312" w:hAnsi="宋体" w:cs="宋体" w:hint="eastAsia"/>
                <w:kern w:val="0"/>
                <w:szCs w:val="21"/>
              </w:rPr>
              <w:t>高级工</w:t>
            </w:r>
            <w:r>
              <w:rPr>
                <w:rFonts w:ascii="仿宋_GB2312" w:eastAsia="仿宋_GB2312" w:hAnsi="宋体" w:cs="宋体" w:hint="eastAsia"/>
                <w:kern w:val="0"/>
                <w:szCs w:val="21"/>
              </w:rPr>
              <w:t>层级人才培养方案。完成旅游服务与管理专业，高级工人才培养方案。完善和修订文物修复与保护专业中级工、高级工人才培养方案；</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、旅游专业建设教学资源库，并新增教学资源。</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、全系各专业全部完成高级工一体化课程建设。完成相应一体化课程的工作页、信息页编制工作。完成相对应一体化课程的校本教材的编制工作。</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结合专业特色研究开发各专业高级工非专业能力综合职业能力评价</w:t>
            </w:r>
            <w:r>
              <w:rPr>
                <w:rFonts w:ascii="仿宋_GB2312" w:eastAsia="仿宋_GB2312" w:hAnsi="宋体" w:cs="宋体" w:hint="eastAsia"/>
                <w:kern w:val="0"/>
                <w:szCs w:val="21"/>
              </w:rPr>
              <w:t>标准，建立专业能力与非职业能力融合的评价体系。</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 xml:space="preserve">4. </w:t>
            </w:r>
            <w:r>
              <w:rPr>
                <w:rFonts w:ascii="仿宋_GB2312" w:eastAsia="仿宋_GB2312" w:hAnsi="宋体" w:cs="宋体" w:hint="eastAsia"/>
                <w:kern w:val="0"/>
                <w:szCs w:val="21"/>
              </w:rPr>
              <w:t>利用信息技术建设数字化优质课程资源，教师利用课程平台实施线上线下混合式教学的课程比例逐渐提高。优化已有课程资源库，聘请企业专家配合骨干教师，建设微课，共同完成信息化教学资源开发利用，将数字化资源与精品课程配套建设，将微课、翻转课堂等教学形式应用于课堂教学中，有效提升课堂教学质量。</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hint="eastAsia"/>
                <w:kern w:val="0"/>
                <w:szCs w:val="21"/>
              </w:rPr>
              <w:t>、文创系技术创新中心运行平稳，年度创新产品不少于</w:t>
            </w:r>
            <w:r>
              <w:rPr>
                <w:rFonts w:ascii="仿宋_GB2312" w:eastAsia="仿宋_GB2312" w:hAnsi="宋体" w:cs="宋体" w:hint="eastAsia"/>
                <w:kern w:val="0"/>
                <w:szCs w:val="21"/>
              </w:rPr>
              <w:t>3</w:t>
            </w:r>
            <w:r>
              <w:rPr>
                <w:rFonts w:ascii="仿宋_GB2312" w:eastAsia="仿宋_GB2312" w:hAnsi="宋体" w:cs="宋体" w:hint="eastAsia"/>
                <w:kern w:val="0"/>
                <w:szCs w:val="21"/>
              </w:rPr>
              <w:t>项。成立“微帧影视后期剪辑”工程师学院；成立“霍海俊文物保护”大师工作室；初步建立工程师学院、大师工作室及设备使用管理制度</w:t>
            </w:r>
            <w:r>
              <w:rPr>
                <w:rFonts w:ascii="仿宋_GB2312" w:eastAsia="仿宋_GB2312" w:hAnsi="宋体" w:cs="宋体" w:hint="eastAsia"/>
                <w:kern w:val="0"/>
                <w:szCs w:val="21"/>
              </w:rPr>
              <w:t>.</w:t>
            </w:r>
          </w:p>
        </w:tc>
        <w:tc>
          <w:tcPr>
            <w:tcW w:w="3387" w:type="dxa"/>
            <w:gridSpan w:val="7"/>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年实</w:t>
            </w:r>
            <w:r>
              <w:rPr>
                <w:rFonts w:ascii="仿宋_GB2312" w:eastAsia="仿宋_GB2312" w:hAnsi="宋体" w:cs="宋体" w:hint="eastAsia"/>
                <w:kern w:val="0"/>
                <w:szCs w:val="21"/>
              </w:rPr>
              <w:t>际</w:t>
            </w:r>
            <w:r>
              <w:rPr>
                <w:rFonts w:ascii="仿宋_GB2312" w:eastAsia="仿宋_GB2312" w:hAnsi="宋体" w:cs="宋体" w:hint="eastAsia"/>
                <w:kern w:val="0"/>
                <w:szCs w:val="21"/>
              </w:rPr>
              <w:t>支出</w:t>
            </w:r>
            <w:r>
              <w:rPr>
                <w:rFonts w:ascii="仿宋_GB2312" w:eastAsia="仿宋_GB2312" w:hAnsi="宋体" w:cs="宋体" w:hint="eastAsia"/>
                <w:kern w:val="0"/>
                <w:szCs w:val="21"/>
              </w:rPr>
              <w:t>100.925407</w:t>
            </w:r>
            <w:r>
              <w:rPr>
                <w:rFonts w:ascii="仿宋_GB2312" w:eastAsia="仿宋_GB2312" w:hAnsi="宋体" w:cs="宋体" w:hint="eastAsia"/>
                <w:kern w:val="0"/>
                <w:szCs w:val="21"/>
              </w:rPr>
              <w:t>万元，目标</w:t>
            </w:r>
            <w:r>
              <w:rPr>
                <w:rFonts w:ascii="仿宋_GB2312" w:eastAsia="仿宋_GB2312" w:hAnsi="宋体" w:cs="宋体" w:hint="eastAsia"/>
                <w:kern w:val="0"/>
                <w:szCs w:val="21"/>
              </w:rPr>
              <w:t>实现</w:t>
            </w:r>
            <w:r>
              <w:rPr>
                <w:rFonts w:ascii="仿宋_GB2312" w:eastAsia="仿宋_GB2312" w:hAnsi="宋体" w:cs="宋体" w:hint="eastAsia"/>
                <w:kern w:val="0"/>
                <w:szCs w:val="21"/>
              </w:rPr>
              <w:t>：</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hint="eastAsia"/>
                <w:kern w:val="0"/>
                <w:szCs w:val="21"/>
              </w:rPr>
              <w:t>、进一步深化课程改革，发挥专业课在落实立德树人根本任务中的作用。</w:t>
            </w:r>
            <w:r>
              <w:rPr>
                <w:rFonts w:ascii="仿宋_GB2312" w:eastAsia="仿宋_GB2312" w:hAnsi="宋体" w:cs="宋体" w:hint="eastAsia"/>
                <w:kern w:val="0"/>
                <w:szCs w:val="21"/>
              </w:rPr>
              <w:t>开展</w:t>
            </w:r>
            <w:r>
              <w:rPr>
                <w:rFonts w:ascii="仿宋_GB2312" w:eastAsia="仿宋_GB2312" w:hAnsi="宋体" w:cs="宋体" w:hint="eastAsia"/>
                <w:kern w:val="0"/>
                <w:szCs w:val="21"/>
              </w:rPr>
              <w:t>创新教育手段，加强实践养成，实现</w:t>
            </w:r>
            <w:r>
              <w:rPr>
                <w:rFonts w:ascii="仿宋_GB2312" w:eastAsia="仿宋_GB2312" w:hAnsi="宋体" w:cs="宋体" w:hint="eastAsia"/>
                <w:kern w:val="0"/>
                <w:szCs w:val="21"/>
              </w:rPr>
              <w:t>思政教学在各专业层级、各门课程的全面推行，实现</w:t>
            </w:r>
            <w:r>
              <w:rPr>
                <w:rFonts w:ascii="仿宋_GB2312" w:eastAsia="仿宋_GB2312" w:hAnsi="宋体" w:cs="宋体" w:hint="eastAsia"/>
                <w:kern w:val="0"/>
                <w:szCs w:val="21"/>
              </w:rPr>
              <w:t>教学小课堂与社会大课堂有机融合。</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修订完</w:t>
            </w:r>
            <w:r>
              <w:rPr>
                <w:rFonts w:ascii="仿宋_GB2312" w:eastAsia="仿宋_GB2312" w:hAnsi="宋体" w:cs="宋体" w:hint="eastAsia"/>
                <w:kern w:val="0"/>
                <w:szCs w:val="21"/>
              </w:rPr>
              <w:t>成</w:t>
            </w:r>
            <w:r>
              <w:rPr>
                <w:rFonts w:ascii="仿宋_GB2312" w:eastAsia="仿宋_GB2312" w:hAnsi="宋体" w:cs="宋体" w:hint="eastAsia"/>
                <w:kern w:val="0"/>
                <w:szCs w:val="21"/>
              </w:rPr>
              <w:t>多媒体制作</w:t>
            </w:r>
            <w:r>
              <w:rPr>
                <w:rFonts w:ascii="仿宋_GB2312" w:eastAsia="仿宋_GB2312" w:hAnsi="宋体" w:cs="宋体" w:hint="eastAsia"/>
                <w:kern w:val="0"/>
                <w:szCs w:val="21"/>
              </w:rPr>
              <w:t>高级工</w:t>
            </w:r>
            <w:r>
              <w:rPr>
                <w:rFonts w:ascii="仿宋_GB2312" w:eastAsia="仿宋_GB2312" w:hAnsi="宋体" w:cs="宋体" w:hint="eastAsia"/>
                <w:kern w:val="0"/>
                <w:szCs w:val="21"/>
              </w:rPr>
              <w:t>层级人才培养方案。完成旅游服务与管理专业，高级工人才培养方案。完善和修订文物修复与保护专业中级工、高级工人才培养方案；</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w:t>
            </w:r>
            <w:r>
              <w:rPr>
                <w:rFonts w:ascii="仿宋_GB2312" w:eastAsia="仿宋_GB2312" w:hAnsi="宋体" w:cs="宋体" w:hint="eastAsia"/>
                <w:kern w:val="0"/>
                <w:szCs w:val="21"/>
              </w:rPr>
              <w:t>完成</w:t>
            </w:r>
            <w:r>
              <w:rPr>
                <w:rFonts w:ascii="仿宋_GB2312" w:eastAsia="仿宋_GB2312" w:hAnsi="宋体" w:cs="宋体" w:hint="eastAsia"/>
                <w:kern w:val="0"/>
                <w:szCs w:val="21"/>
              </w:rPr>
              <w:t>旅游专业教学资源库</w:t>
            </w:r>
            <w:r>
              <w:rPr>
                <w:rFonts w:ascii="仿宋_GB2312" w:eastAsia="仿宋_GB2312" w:hAnsi="宋体" w:cs="宋体" w:hint="eastAsia"/>
                <w:kern w:val="0"/>
                <w:szCs w:val="21"/>
              </w:rPr>
              <w:t>建设工作</w:t>
            </w:r>
            <w:r>
              <w:rPr>
                <w:rFonts w:ascii="仿宋_GB2312" w:eastAsia="仿宋_GB2312" w:hAnsi="宋体" w:cs="宋体" w:hint="eastAsia"/>
                <w:kern w:val="0"/>
                <w:szCs w:val="21"/>
              </w:rPr>
              <w:t>，并新增教学资源。</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、全系各专业全部完成高级工一体化课程建设。完成相应一体化课程的工作页、信息页编制工作。完成相对应一体化课程的校本教材的编制工作。</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结合专业特色研究开发各专业高级工非专业能力综合职业能力评价标准，建立专业能力与非职业能力融合的评价体系。</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 xml:space="preserve">4. </w:t>
            </w:r>
            <w:r>
              <w:rPr>
                <w:rFonts w:ascii="仿宋_GB2312" w:eastAsia="仿宋_GB2312" w:hAnsi="宋体" w:cs="宋体" w:hint="eastAsia"/>
                <w:kern w:val="0"/>
                <w:szCs w:val="21"/>
              </w:rPr>
              <w:t>利用信息技术建设数字化优质课程资源，教师利用课程平台实施线上线下混合式教学的课程比例逐渐提高。优化已有课程资源库，聘请企业专家配合骨干教师，建设微课，共同完成信息化教学资源开发利用，将数字化资源与精品课程配套建设，将微课、翻转课堂等教学形式应用于课堂教学中，有效提升课</w:t>
            </w:r>
            <w:r>
              <w:rPr>
                <w:rFonts w:ascii="仿宋_GB2312" w:eastAsia="仿宋_GB2312" w:hAnsi="宋体" w:cs="宋体" w:hint="eastAsia"/>
                <w:kern w:val="0"/>
                <w:szCs w:val="21"/>
              </w:rPr>
              <w:t>堂教学质量。</w:t>
            </w:r>
          </w:p>
          <w:p w:rsidR="00F06089" w:rsidRDefault="00BE033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hint="eastAsia"/>
                <w:kern w:val="0"/>
                <w:szCs w:val="21"/>
              </w:rPr>
              <w:t>、文创系技术创新中心运行平稳，年度创新产品</w:t>
            </w:r>
            <w:r>
              <w:rPr>
                <w:rFonts w:ascii="仿宋_GB2312" w:eastAsia="仿宋_GB2312" w:hAnsi="宋体" w:cs="宋体" w:hint="eastAsia"/>
                <w:kern w:val="0"/>
                <w:szCs w:val="21"/>
              </w:rPr>
              <w:t>达到</w:t>
            </w:r>
            <w:r>
              <w:rPr>
                <w:rFonts w:ascii="仿宋_GB2312" w:eastAsia="仿宋_GB2312" w:hAnsi="宋体" w:cs="宋体" w:hint="eastAsia"/>
                <w:kern w:val="0"/>
                <w:szCs w:val="21"/>
              </w:rPr>
              <w:t>6</w:t>
            </w:r>
            <w:r>
              <w:rPr>
                <w:rFonts w:ascii="仿宋_GB2312" w:eastAsia="仿宋_GB2312" w:hAnsi="宋体" w:cs="宋体" w:hint="eastAsia"/>
                <w:kern w:val="0"/>
                <w:szCs w:val="21"/>
              </w:rPr>
              <w:t>项。成立“影视后期剪辑”工程师学院；成立“霍海俊文物保护”大师工作室；初步建立工程师学院、大师工作室及设备使用管理制度</w:t>
            </w:r>
            <w:r>
              <w:rPr>
                <w:rFonts w:ascii="仿宋_GB2312" w:eastAsia="仿宋_GB2312" w:hAnsi="宋体" w:cs="宋体" w:hint="eastAsia"/>
                <w:kern w:val="0"/>
                <w:szCs w:val="21"/>
              </w:rPr>
              <w:t>.</w:t>
            </w:r>
          </w:p>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F06089">
        <w:trPr>
          <w:trHeight w:hRule="exact" w:val="45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专业人才培养方案</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旅游专业教学资源库</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开发教材</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开发微课</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工程师学院</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大师工作室</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697"/>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专业人才培养方案评审通过率</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60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旅游专业教学资源库验收合格率</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60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工程师学院验收通过率</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53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大师工作室验收通过率</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109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项目整体验收时间</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12</w:t>
            </w:r>
            <w:r>
              <w:rPr>
                <w:rFonts w:ascii="仿宋_GB2312" w:eastAsia="仿宋_GB2312" w:hAnsi="宋体" w:cs="宋体" w:hint="eastAsia"/>
                <w:kern w:val="0"/>
                <w:szCs w:val="21"/>
              </w:rPr>
              <w:t>月完成</w:t>
            </w:r>
            <w:r>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12</w:t>
            </w:r>
            <w:r>
              <w:rPr>
                <w:rFonts w:ascii="仿宋_GB2312" w:eastAsia="仿宋_GB2312" w:hAnsi="宋体" w:cs="宋体" w:hint="eastAsia"/>
                <w:kern w:val="0"/>
                <w:szCs w:val="21"/>
              </w:rPr>
              <w:t>月完成</w:t>
            </w: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113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项目整体支出进度</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11</w:t>
            </w:r>
            <w:r>
              <w:rPr>
                <w:rFonts w:ascii="仿宋_GB2312" w:eastAsia="仿宋_GB2312" w:hAnsi="宋体" w:cs="宋体" w:hint="eastAsia"/>
                <w:kern w:val="0"/>
                <w:szCs w:val="21"/>
              </w:rPr>
              <w:t>月完成</w:t>
            </w:r>
            <w:r>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11</w:t>
            </w:r>
            <w:r>
              <w:rPr>
                <w:rFonts w:ascii="仿宋_GB2312" w:eastAsia="仿宋_GB2312" w:hAnsi="宋体" w:cs="宋体" w:hint="eastAsia"/>
                <w:kern w:val="0"/>
                <w:szCs w:val="21"/>
              </w:rPr>
              <w:t>月完成</w:t>
            </w:r>
            <w:r>
              <w:rPr>
                <w:rFonts w:ascii="仿宋_GB2312" w:eastAsia="仿宋_GB2312" w:hAnsi="宋体" w:cs="宋体" w:hint="eastAsia"/>
                <w:kern w:val="0"/>
                <w:szCs w:val="21"/>
              </w:rPr>
              <w:t>98.71</w:t>
            </w:r>
            <w:r>
              <w:rPr>
                <w:rFonts w:ascii="仿宋_GB2312" w:eastAsia="仿宋_GB2312" w:hAnsi="宋体" w:cs="宋体" w:hint="eastAsia"/>
                <w:kern w:val="0"/>
                <w:szCs w:val="21"/>
              </w:rPr>
              <w:t>%</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99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项目预算控制数</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102.24</w:t>
            </w:r>
            <w:r>
              <w:rPr>
                <w:rFonts w:ascii="仿宋_GB2312" w:eastAsia="仿宋_GB2312" w:hAnsi="宋体" w:cs="宋体" w:hint="eastAsia"/>
                <w:kern w:val="0"/>
                <w:szCs w:val="21"/>
              </w:rPr>
              <w:t>万</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100.93</w:t>
            </w:r>
            <w:r>
              <w:rPr>
                <w:rFonts w:ascii="仿宋_GB2312" w:eastAsia="仿宋_GB2312" w:hAnsi="宋体" w:cs="宋体" w:hint="eastAsia"/>
                <w:kern w:val="0"/>
                <w:szCs w:val="21"/>
              </w:rPr>
              <w:t>万</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sidRPr="00FF6993">
              <w:rPr>
                <w:rFonts w:ascii="仿宋_GB2312" w:eastAsia="仿宋_GB2312" w:hAnsi="宋体" w:cs="宋体" w:hint="eastAsia"/>
                <w:kern w:val="0"/>
                <w:szCs w:val="21"/>
              </w:rPr>
              <w:t>模拟导游实训室招标金额低于预算金额</w:t>
            </w:r>
          </w:p>
        </w:tc>
      </w:tr>
      <w:tr w:rsidR="00F06089">
        <w:trPr>
          <w:trHeight w:hRule="exact" w:val="44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教学资源库利用率</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57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教学资源库使用年限</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r>
              <w:rPr>
                <w:rFonts w:ascii="仿宋_GB2312" w:eastAsia="仿宋_GB2312" w:hAnsi="宋体" w:cs="宋体" w:hint="eastAsia"/>
                <w:kern w:val="0"/>
                <w:szCs w:val="21"/>
              </w:rPr>
              <w:t>年</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已使用</w:t>
            </w:r>
            <w:r>
              <w:rPr>
                <w:rFonts w:ascii="仿宋_GB2312" w:eastAsia="仿宋_GB2312" w:hAnsi="宋体" w:cs="宋体" w:hint="eastAsia"/>
                <w:kern w:val="0"/>
                <w:szCs w:val="21"/>
              </w:rPr>
              <w:t>1</w:t>
            </w:r>
            <w:r>
              <w:rPr>
                <w:rFonts w:ascii="仿宋_GB2312" w:eastAsia="仿宋_GB2312" w:hAnsi="宋体" w:cs="宋体" w:hint="eastAsia"/>
                <w:kern w:val="0"/>
                <w:szCs w:val="21"/>
              </w:rPr>
              <w:t>年</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教师满意度</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授课学生满意度</w:t>
            </w:r>
          </w:p>
        </w:tc>
        <w:tc>
          <w:tcPr>
            <w:tcW w:w="849"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848" w:type="dxa"/>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r w:rsidR="00F06089">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F06089" w:rsidRDefault="00BE033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98.87</w:t>
            </w:r>
          </w:p>
        </w:tc>
        <w:tc>
          <w:tcPr>
            <w:tcW w:w="1413" w:type="dxa"/>
            <w:gridSpan w:val="2"/>
            <w:tcBorders>
              <w:top w:val="single" w:sz="4" w:space="0" w:color="auto"/>
              <w:left w:val="nil"/>
              <w:bottom w:val="single" w:sz="4" w:space="0" w:color="auto"/>
              <w:right w:val="single" w:sz="4" w:space="0" w:color="auto"/>
            </w:tcBorders>
            <w:vAlign w:val="center"/>
          </w:tcPr>
          <w:p w:rsidR="00F06089" w:rsidRDefault="00F06089">
            <w:pPr>
              <w:widowControl/>
              <w:spacing w:line="240" w:lineRule="exact"/>
              <w:jc w:val="center"/>
              <w:rPr>
                <w:rFonts w:ascii="仿宋_GB2312" w:eastAsia="仿宋_GB2312" w:hAnsi="宋体" w:cs="宋体"/>
                <w:kern w:val="0"/>
                <w:szCs w:val="21"/>
              </w:rPr>
            </w:pPr>
          </w:p>
        </w:tc>
      </w:tr>
    </w:tbl>
    <w:p w:rsidR="00F06089" w:rsidRDefault="00F06089">
      <w:pPr>
        <w:rPr>
          <w:rFonts w:ascii="仿宋_GB2312" w:eastAsia="仿宋_GB2312"/>
          <w:vanish/>
          <w:sz w:val="32"/>
          <w:szCs w:val="32"/>
        </w:rPr>
      </w:pPr>
    </w:p>
    <w:p w:rsidR="00F06089" w:rsidRDefault="00F06089">
      <w:pPr>
        <w:widowControl/>
        <w:jc w:val="left"/>
        <w:rPr>
          <w:rFonts w:ascii="仿宋_GB2312" w:eastAsia="仿宋_GB2312" w:hAnsi="宋体" w:cs="宋体"/>
          <w:color w:val="000000"/>
          <w:kern w:val="0"/>
          <w:sz w:val="32"/>
          <w:szCs w:val="32"/>
        </w:rPr>
      </w:pPr>
    </w:p>
    <w:p w:rsidR="00F06089" w:rsidRDefault="00BE033A">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F06089" w:rsidRDefault="00BE033A">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得分一档最高不能超过该指标分值上限。</w:t>
      </w:r>
    </w:p>
    <w:p w:rsidR="00F06089" w:rsidRDefault="00BE033A">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w:t>
      </w:r>
      <w:r>
        <w:rPr>
          <w:rFonts w:ascii="仿宋_GB2312" w:eastAsia="仿宋_GB2312" w:hAnsi="宋体" w:cs="宋体" w:hint="eastAsia"/>
          <w:color w:val="000000"/>
          <w:kern w:val="0"/>
          <w:sz w:val="32"/>
          <w:szCs w:val="32"/>
        </w:rPr>
        <w:t>定量指标若为正向指标，则得分计算方法应用全年实际值（</w:t>
      </w:r>
      <w:r>
        <w:rPr>
          <w:rFonts w:ascii="仿宋_GB2312" w:eastAsia="仿宋_GB2312" w:hAnsi="宋体" w:cs="宋体" w:hint="eastAsia"/>
          <w:color w:val="000000"/>
          <w:kern w:val="0"/>
          <w:sz w:val="32"/>
          <w:szCs w:val="32"/>
        </w:rPr>
        <w:t>B</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该指标分值；若定量指标为反向指标，则得分计算方法应用年度指标值（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全年实际值（</w:t>
      </w:r>
      <w:r>
        <w:rPr>
          <w:rFonts w:ascii="仿宋_GB2312" w:eastAsia="仿宋_GB2312" w:hAnsi="宋体" w:cs="宋体" w:hint="eastAsia"/>
          <w:color w:val="000000"/>
          <w:kern w:val="0"/>
          <w:sz w:val="32"/>
          <w:szCs w:val="32"/>
        </w:rPr>
        <w:t>B</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该指标分值。若年初指标值设定偏低，则得分计算方法应用（全年实际值（</w:t>
      </w:r>
      <w:r>
        <w:rPr>
          <w:rFonts w:ascii="仿宋_GB2312" w:eastAsia="仿宋_GB2312" w:hAnsi="宋体" w:cs="宋体" w:hint="eastAsia"/>
          <w:color w:val="000000"/>
          <w:kern w:val="0"/>
          <w:sz w:val="32"/>
          <w:szCs w:val="32"/>
        </w:rPr>
        <w:t>B</w:t>
      </w:r>
      <w:r>
        <w:rPr>
          <w:rFonts w:ascii="仿宋_GB2312" w:eastAsia="仿宋_GB2312" w:hAnsi="宋体" w:cs="宋体" w:hint="eastAsia"/>
          <w:color w:val="000000"/>
          <w:kern w:val="0"/>
          <w:sz w:val="32"/>
          <w:szCs w:val="32"/>
        </w:rPr>
        <w:t>）—年度指标值（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。若计算结果在</w:t>
      </w:r>
      <w:r>
        <w:rPr>
          <w:rFonts w:ascii="仿宋_GB2312" w:eastAsia="仿宋_GB2312" w:hAnsi="宋体" w:cs="宋体" w:hint="eastAsia"/>
          <w:color w:val="000000"/>
          <w:kern w:val="0"/>
          <w:sz w:val="32"/>
          <w:szCs w:val="32"/>
        </w:rPr>
        <w:t>200%-300%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200%</w:t>
      </w:r>
      <w:r>
        <w:rPr>
          <w:rFonts w:ascii="仿宋_GB2312" w:eastAsia="仿宋_GB2312" w:hAnsi="宋体" w:cs="宋体" w:hint="eastAsia"/>
          <w:color w:val="000000"/>
          <w:kern w:val="0"/>
          <w:sz w:val="32"/>
          <w:szCs w:val="32"/>
        </w:rPr>
        <w:t>）区间，则按照该指标分值的</w:t>
      </w:r>
      <w:r>
        <w:rPr>
          <w:rFonts w:ascii="仿宋_GB2312" w:eastAsia="仿宋_GB2312" w:hAnsi="宋体" w:cs="宋体" w:hint="eastAsia"/>
          <w:color w:val="000000"/>
          <w:kern w:val="0"/>
          <w:sz w:val="32"/>
          <w:szCs w:val="32"/>
        </w:rPr>
        <w:t>10%</w:t>
      </w:r>
      <w:r>
        <w:rPr>
          <w:rFonts w:ascii="仿宋_GB2312" w:eastAsia="仿宋_GB2312" w:hAnsi="宋体" w:cs="宋体" w:hint="eastAsia"/>
          <w:color w:val="000000"/>
          <w:kern w:val="0"/>
          <w:sz w:val="32"/>
          <w:szCs w:val="32"/>
        </w:rPr>
        <w:t>扣分；计算结果在</w:t>
      </w:r>
      <w:r>
        <w:rPr>
          <w:rFonts w:ascii="仿宋_GB2312" w:eastAsia="仿宋_GB2312" w:hAnsi="宋体" w:cs="宋体" w:hint="eastAsia"/>
          <w:color w:val="000000"/>
          <w:kern w:val="0"/>
          <w:sz w:val="32"/>
          <w:szCs w:val="32"/>
        </w:rPr>
        <w:t>300%-500%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300%</w:t>
      </w:r>
      <w:r>
        <w:rPr>
          <w:rFonts w:ascii="仿宋_GB2312" w:eastAsia="仿宋_GB2312" w:hAnsi="宋体" w:cs="宋体" w:hint="eastAsia"/>
          <w:color w:val="000000"/>
          <w:kern w:val="0"/>
          <w:sz w:val="32"/>
          <w:szCs w:val="32"/>
        </w:rPr>
        <w:t>）区间，则按照该指标分值</w:t>
      </w:r>
      <w:r>
        <w:rPr>
          <w:rFonts w:ascii="仿宋_GB2312" w:eastAsia="仿宋_GB2312" w:hAnsi="宋体" w:cs="宋体" w:hint="eastAsia"/>
          <w:color w:val="000000"/>
          <w:kern w:val="0"/>
          <w:sz w:val="32"/>
          <w:szCs w:val="32"/>
        </w:rPr>
        <w:lastRenderedPageBreak/>
        <w:t>的</w:t>
      </w:r>
      <w:r>
        <w:rPr>
          <w:rFonts w:ascii="仿宋_GB2312" w:eastAsia="仿宋_GB2312" w:hAnsi="宋体" w:cs="宋体" w:hint="eastAsia"/>
          <w:color w:val="000000"/>
          <w:kern w:val="0"/>
          <w:sz w:val="32"/>
          <w:szCs w:val="32"/>
        </w:rPr>
        <w:t>20%</w:t>
      </w:r>
      <w:r>
        <w:rPr>
          <w:rFonts w:ascii="仿宋_GB2312" w:eastAsia="仿宋_GB2312" w:hAnsi="宋体" w:cs="宋体" w:hint="eastAsia"/>
          <w:color w:val="000000"/>
          <w:kern w:val="0"/>
          <w:sz w:val="32"/>
          <w:szCs w:val="32"/>
        </w:rPr>
        <w:t>扣分；计算结果高于</w:t>
      </w:r>
      <w:r>
        <w:rPr>
          <w:rFonts w:ascii="仿宋_GB2312" w:eastAsia="仿宋_GB2312" w:hAnsi="宋体" w:cs="宋体" w:hint="eastAsia"/>
          <w:color w:val="000000"/>
          <w:kern w:val="0"/>
          <w:sz w:val="32"/>
          <w:szCs w:val="32"/>
        </w:rPr>
        <w:t>500%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500%</w:t>
      </w:r>
      <w:r>
        <w:rPr>
          <w:rFonts w:ascii="仿宋_GB2312" w:eastAsia="仿宋_GB2312" w:hAnsi="宋体" w:cs="宋体" w:hint="eastAsia"/>
          <w:color w:val="000000"/>
          <w:kern w:val="0"/>
          <w:sz w:val="32"/>
          <w:szCs w:val="32"/>
        </w:rPr>
        <w:t>），则按照该指标分值的</w:t>
      </w:r>
      <w:r>
        <w:rPr>
          <w:rFonts w:ascii="仿宋_GB2312" w:eastAsia="仿宋_GB2312" w:hAnsi="宋体" w:cs="宋体" w:hint="eastAsia"/>
          <w:color w:val="000000"/>
          <w:kern w:val="0"/>
          <w:sz w:val="32"/>
          <w:szCs w:val="32"/>
        </w:rPr>
        <w:t>30</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扣分。</w:t>
      </w:r>
    </w:p>
    <w:p w:rsidR="00F06089" w:rsidRDefault="00BE033A">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请在“偏差原因分析及改进措施”中说明偏离目标、不能完成目标的原因及拟采取的措施。</w:t>
      </w:r>
    </w:p>
    <w:p w:rsidR="00F06089" w:rsidRDefault="00BE033A">
      <w:pPr>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4.90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分为优、</w:t>
      </w:r>
      <w:r>
        <w:rPr>
          <w:rFonts w:ascii="仿宋_GB2312" w:eastAsia="仿宋_GB2312" w:hAnsi="宋体" w:cs="宋体" w:hint="eastAsia"/>
          <w:color w:val="000000"/>
          <w:kern w:val="0"/>
          <w:sz w:val="32"/>
          <w:szCs w:val="32"/>
        </w:rPr>
        <w:t>80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-90</w:t>
      </w:r>
      <w:r>
        <w:rPr>
          <w:rFonts w:ascii="仿宋_GB2312" w:eastAsia="仿宋_GB2312" w:hAnsi="宋体" w:cs="宋体" w:hint="eastAsia"/>
          <w:color w:val="000000"/>
          <w:kern w:val="0"/>
          <w:sz w:val="32"/>
          <w:szCs w:val="32"/>
        </w:rPr>
        <w:t>分为良、</w:t>
      </w:r>
      <w:r>
        <w:rPr>
          <w:rFonts w:ascii="仿宋_GB2312" w:eastAsia="仿宋_GB2312" w:hAnsi="宋体" w:cs="宋体" w:hint="eastAsia"/>
          <w:color w:val="000000"/>
          <w:kern w:val="0"/>
          <w:sz w:val="32"/>
          <w:szCs w:val="32"/>
        </w:rPr>
        <w:t>60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-80</w:t>
      </w:r>
      <w:r>
        <w:rPr>
          <w:rFonts w:ascii="仿宋_GB2312" w:eastAsia="仿宋_GB2312" w:hAnsi="宋体" w:cs="宋体" w:hint="eastAsia"/>
          <w:color w:val="000000"/>
          <w:kern w:val="0"/>
          <w:sz w:val="32"/>
          <w:szCs w:val="32"/>
        </w:rPr>
        <w:t>分为中、</w:t>
      </w:r>
      <w:r>
        <w:rPr>
          <w:rFonts w:ascii="仿宋_GB2312" w:eastAsia="仿宋_GB2312" w:hAnsi="宋体" w:cs="宋体" w:hint="eastAsia"/>
          <w:color w:val="000000"/>
          <w:kern w:val="0"/>
          <w:sz w:val="32"/>
          <w:szCs w:val="32"/>
        </w:rPr>
        <w:t>60</w:t>
      </w:r>
      <w:r>
        <w:rPr>
          <w:rFonts w:ascii="仿宋_GB2312" w:eastAsia="仿宋_GB2312" w:hAnsi="宋体" w:cs="宋体" w:hint="eastAsia"/>
          <w:color w:val="000000"/>
          <w:kern w:val="0"/>
          <w:sz w:val="32"/>
          <w:szCs w:val="32"/>
        </w:rPr>
        <w:t>分以下为差。</w:t>
      </w:r>
    </w:p>
    <w:p w:rsidR="00F06089" w:rsidRDefault="00F06089">
      <w:pPr>
        <w:spacing w:line="600" w:lineRule="exact"/>
        <w:ind w:firstLineChars="200" w:firstLine="640"/>
        <w:rPr>
          <w:rFonts w:ascii="仿宋_GB2312" w:eastAsia="仿宋_GB2312" w:hAnsi="宋体" w:cs="宋体"/>
          <w:color w:val="000000"/>
          <w:kern w:val="0"/>
          <w:sz w:val="32"/>
          <w:szCs w:val="32"/>
        </w:rPr>
      </w:pPr>
    </w:p>
    <w:p w:rsidR="00F06089" w:rsidRDefault="00F06089">
      <w:pPr>
        <w:spacing w:line="480" w:lineRule="exact"/>
        <w:rPr>
          <w:rFonts w:ascii="仿宋_GB2312" w:eastAsia="仿宋_GB2312"/>
          <w:sz w:val="32"/>
          <w:szCs w:val="32"/>
        </w:rPr>
        <w:sectPr w:rsidR="00F06089">
          <w:footerReference w:type="even" r:id="rId7"/>
          <w:footerReference w:type="default" r:id="rId8"/>
          <w:pgSz w:w="11906" w:h="16838"/>
          <w:pgMar w:top="1871" w:right="1474" w:bottom="1418" w:left="1531" w:header="851" w:footer="992" w:gutter="0"/>
          <w:pgNumType w:fmt="numberInDash"/>
          <w:cols w:space="720"/>
          <w:docGrid w:type="lines" w:linePitch="312"/>
        </w:sectPr>
      </w:pPr>
    </w:p>
    <w:p w:rsidR="00F06089" w:rsidRDefault="00BE033A">
      <w:pPr>
        <w:spacing w:line="480" w:lineRule="exact"/>
      </w:pPr>
      <w:r>
        <w:rPr>
          <w:rFonts w:ascii="方正小标宋简体" w:eastAsia="方正小标宋简体" w:hint="eastAsia"/>
          <w:sz w:val="36"/>
          <w:szCs w:val="36"/>
        </w:rPr>
        <w:lastRenderedPageBreak/>
        <w:t xml:space="preserve"> </w:t>
      </w:r>
    </w:p>
    <w:sectPr w:rsidR="00F06089" w:rsidSect="00F06089">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33A" w:rsidRDefault="00BE033A" w:rsidP="00F06089">
      <w:r>
        <w:separator/>
      </w:r>
    </w:p>
  </w:endnote>
  <w:endnote w:type="continuationSeparator" w:id="0">
    <w:p w:rsidR="00BE033A" w:rsidRDefault="00BE033A" w:rsidP="00F060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黑体_GBK">
    <w:altName w:val="微软雅黑"/>
    <w:charset w:val="86"/>
    <w:family w:val="auto"/>
    <w:pitch w:val="default"/>
    <w:sig w:usb0="00000000" w:usb1="00000000" w:usb2="00000000" w:usb3="00000000" w:csb0="00040000" w:csb1="00000000"/>
  </w:font>
  <w:font w:name="方正小标宋简体">
    <w:altName w:val="方正舒体"/>
    <w:charset w:val="86"/>
    <w:family w:val="auto"/>
    <w:pitch w:val="default"/>
    <w:sig w:usb0="00000000" w:usb1="00000000" w:usb2="00000012"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089" w:rsidRDefault="00F06089">
    <w:pPr>
      <w:pStyle w:val="a3"/>
      <w:rPr>
        <w:rFonts w:ascii="宋体" w:hAnsi="宋体"/>
        <w:sz w:val="28"/>
        <w:szCs w:val="28"/>
      </w:rPr>
    </w:pPr>
    <w:r>
      <w:rPr>
        <w:rFonts w:ascii="宋体" w:hAnsi="宋体"/>
        <w:sz w:val="28"/>
        <w:szCs w:val="28"/>
      </w:rPr>
      <w:fldChar w:fldCharType="begin"/>
    </w:r>
    <w:r w:rsidR="00BE033A">
      <w:rPr>
        <w:rFonts w:ascii="宋体" w:hAnsi="宋体"/>
        <w:sz w:val="28"/>
        <w:szCs w:val="28"/>
      </w:rPr>
      <w:instrText>PAGE   \* MERGEFORMAT</w:instrText>
    </w:r>
    <w:r>
      <w:rPr>
        <w:rFonts w:ascii="宋体" w:hAnsi="宋体"/>
        <w:sz w:val="28"/>
        <w:szCs w:val="28"/>
      </w:rPr>
      <w:fldChar w:fldCharType="separate"/>
    </w:r>
    <w:r w:rsidR="00BE033A">
      <w:rPr>
        <w:rFonts w:ascii="宋体" w:hAnsi="宋体"/>
        <w:sz w:val="28"/>
        <w:szCs w:val="28"/>
        <w:lang w:val="zh-CN"/>
      </w:rPr>
      <w:t>-</w:t>
    </w:r>
    <w:r w:rsidR="00BE033A">
      <w:rPr>
        <w:rFonts w:ascii="宋体" w:hAnsi="宋体"/>
        <w:sz w:val="28"/>
        <w:szCs w:val="28"/>
      </w:rPr>
      <w:t xml:space="preserve"> 16 -</w:t>
    </w:r>
    <w:r>
      <w:rPr>
        <w:rFonts w:ascii="宋体" w:hAnsi="宋体"/>
        <w:sz w:val="28"/>
        <w:szCs w:val="28"/>
      </w:rPr>
      <w:fldChar w:fldCharType="end"/>
    </w:r>
  </w:p>
  <w:p w:rsidR="00F06089" w:rsidRDefault="00F0608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089" w:rsidRDefault="00F06089">
    <w:pPr>
      <w:pStyle w:val="a3"/>
      <w:jc w:val="right"/>
      <w:rPr>
        <w:rFonts w:ascii="宋体" w:hAnsi="宋体"/>
        <w:sz w:val="28"/>
        <w:szCs w:val="28"/>
      </w:rPr>
    </w:pPr>
    <w:r w:rsidRPr="00F06089">
      <w:rPr>
        <w:sz w:val="28"/>
      </w:rPr>
      <w:pict>
        <v:shapetype id="_x0000_t202" coordsize="21600,21600" o:spt="202" path="m,l,21600r21600,l21600,xe">
          <v:stroke joinstyle="miter"/>
          <v:path gradientshapeok="t" o:connecttype="rect"/>
        </v:shapetype>
        <v:shape id="_x0000_s1026" type="#_x0000_t202" style="position:absolute;left:0;text-align:left;margin-left:104pt;margin-top:0;width:2in;height:2in;z-index:251659264;mso-wrap-style:none;mso-position-horizontal:right;mso-position-horizontal-relative:margin"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filled="f" stroked="f" strokeweight=".5pt">
          <v:textbox style="mso-fit-shape-to-text:t" inset="0,0,0,0">
            <w:txbxContent>
              <w:p w:rsidR="00F06089" w:rsidRDefault="00F06089">
                <w:pPr>
                  <w:pStyle w:val="a3"/>
                  <w:jc w:val="right"/>
                </w:pPr>
                <w:r>
                  <w:rPr>
                    <w:rFonts w:ascii="宋体" w:hAnsi="宋体"/>
                    <w:sz w:val="28"/>
                    <w:szCs w:val="28"/>
                  </w:rPr>
                  <w:fldChar w:fldCharType="begin"/>
                </w:r>
                <w:r w:rsidR="00BE033A">
                  <w:rPr>
                    <w:rFonts w:ascii="宋体" w:hAnsi="宋体"/>
                    <w:sz w:val="28"/>
                    <w:szCs w:val="28"/>
                  </w:rPr>
                  <w:instrText>PAGE   \* MERGEFORMAT</w:instrText>
                </w:r>
                <w:r>
                  <w:rPr>
                    <w:rFonts w:ascii="宋体" w:hAnsi="宋体"/>
                    <w:sz w:val="28"/>
                    <w:szCs w:val="28"/>
                  </w:rPr>
                  <w:fldChar w:fldCharType="separate"/>
                </w:r>
                <w:r w:rsidR="00FF6993" w:rsidRPr="00FF6993">
                  <w:rPr>
                    <w:rFonts w:ascii="宋体" w:hAnsi="宋体"/>
                    <w:noProof/>
                    <w:sz w:val="28"/>
                    <w:szCs w:val="28"/>
                    <w:lang w:val="zh-CN"/>
                  </w:rPr>
                  <w:t>-</w:t>
                </w:r>
                <w:r w:rsidR="00FF6993">
                  <w:rPr>
                    <w:rFonts w:ascii="宋体" w:hAnsi="宋体"/>
                    <w:noProof/>
                    <w:sz w:val="28"/>
                    <w:szCs w:val="28"/>
                  </w:rPr>
                  <w:t xml:space="preserve"> 2 -</w:t>
                </w:r>
                <w:r>
                  <w:rPr>
                    <w:rFonts w:ascii="宋体" w:hAnsi="宋体"/>
                    <w:sz w:val="28"/>
                    <w:szCs w:val="28"/>
                  </w:rPr>
                  <w:fldChar w:fldCharType="end"/>
                </w:r>
              </w:p>
            </w:txbxContent>
          </v:textbox>
          <w10:wrap anchorx="margin"/>
        </v:shape>
      </w:pict>
    </w:r>
  </w:p>
  <w:p w:rsidR="00F06089" w:rsidRDefault="00F0608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089" w:rsidRDefault="00F06089">
    <w:pPr>
      <w:pStyle w:val="a3"/>
      <w:jc w:val="right"/>
      <w:rPr>
        <w:rFonts w:ascii="宋体" w:hAnsi="宋体"/>
        <w:sz w:val="28"/>
        <w:szCs w:val="28"/>
      </w:rPr>
    </w:pPr>
    <w:r w:rsidRPr="00F06089">
      <w:rPr>
        <w:sz w:val="28"/>
      </w:rPr>
      <w:pict>
        <v:shapetype id="_x0000_t202" coordsize="21600,21600" o:spt="202" path="m,l,21600r21600,l21600,xe">
          <v:stroke joinstyle="miter"/>
          <v:path gradientshapeok="t" o:connecttype="rect"/>
        </v:shapetype>
        <v:shape id="_x0000_s1027" type="#_x0000_t202" style="position:absolute;left:0;text-align:left;margin-left:104pt;margin-top:0;width:2in;height:2in;z-index:251660288;mso-wrap-style:none;mso-position-horizontal:right;mso-position-horizontal-relative:margin"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filled="f" stroked="f" strokeweight=".5pt">
          <v:textbox style="mso-fit-shape-to-text:t" inset="0,0,0,0">
            <w:txbxContent>
              <w:p w:rsidR="00F06089" w:rsidRDefault="00F06089">
                <w:pPr>
                  <w:pStyle w:val="a3"/>
                  <w:jc w:val="right"/>
                </w:pPr>
                <w:r>
                  <w:rPr>
                    <w:rFonts w:ascii="宋体" w:hAnsi="宋体"/>
                    <w:sz w:val="28"/>
                    <w:szCs w:val="28"/>
                  </w:rPr>
                  <w:fldChar w:fldCharType="begin"/>
                </w:r>
                <w:r w:rsidR="00BE033A">
                  <w:rPr>
                    <w:rFonts w:ascii="宋体" w:hAnsi="宋体"/>
                    <w:sz w:val="28"/>
                    <w:szCs w:val="28"/>
                  </w:rPr>
                  <w:instrText>PAGE   \* MERGEFORMAT</w:instrText>
                </w:r>
                <w:r>
                  <w:rPr>
                    <w:rFonts w:ascii="宋体" w:hAnsi="宋体"/>
                    <w:sz w:val="28"/>
                    <w:szCs w:val="28"/>
                  </w:rPr>
                  <w:fldChar w:fldCharType="separate"/>
                </w:r>
                <w:r w:rsidR="00FF6993" w:rsidRPr="00FF6993">
                  <w:rPr>
                    <w:rFonts w:ascii="宋体" w:hAnsi="宋体"/>
                    <w:noProof/>
                    <w:sz w:val="28"/>
                    <w:szCs w:val="28"/>
                    <w:lang w:val="zh-CN"/>
                  </w:rPr>
                  <w:t>-</w:t>
                </w:r>
                <w:r w:rsidR="00FF6993">
                  <w:rPr>
                    <w:rFonts w:ascii="宋体" w:hAnsi="宋体"/>
                    <w:noProof/>
                    <w:sz w:val="28"/>
                    <w:szCs w:val="28"/>
                  </w:rPr>
                  <w:t xml:space="preserve"> 5 -</w:t>
                </w:r>
                <w:r>
                  <w:rPr>
                    <w:rFonts w:ascii="宋体" w:hAnsi="宋体"/>
                    <w:sz w:val="28"/>
                    <w:szCs w:val="28"/>
                  </w:rPr>
                  <w:fldChar w:fldCharType="end"/>
                </w:r>
              </w:p>
            </w:txbxContent>
          </v:textbox>
          <w10:wrap anchorx="margin"/>
        </v:shape>
      </w:pict>
    </w:r>
  </w:p>
  <w:p w:rsidR="00F06089" w:rsidRDefault="00F0608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33A" w:rsidRDefault="00BE033A" w:rsidP="00F06089">
      <w:r>
        <w:separator/>
      </w:r>
    </w:p>
  </w:footnote>
  <w:footnote w:type="continuationSeparator" w:id="0">
    <w:p w:rsidR="00BE033A" w:rsidRDefault="00BE033A" w:rsidP="00F060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YTc2ZGZiNzZiNDVlOGViOWVmM2JhOTY0NGJkNjUyYzgifQ=="/>
  </w:docVars>
  <w:rsids>
    <w:rsidRoot w:val="F77F09F4"/>
    <w:rsid w:val="CEFD3F3D"/>
    <w:rsid w:val="EA3F77F2"/>
    <w:rsid w:val="EEFE5989"/>
    <w:rsid w:val="EFCF3EAE"/>
    <w:rsid w:val="F5B764A2"/>
    <w:rsid w:val="F77F09F4"/>
    <w:rsid w:val="FFD7BFFC"/>
    <w:rsid w:val="FFFA6B0F"/>
    <w:rsid w:val="003953A3"/>
    <w:rsid w:val="003B5E58"/>
    <w:rsid w:val="009073CC"/>
    <w:rsid w:val="00A0728D"/>
    <w:rsid w:val="00BC6FEA"/>
    <w:rsid w:val="00BE033A"/>
    <w:rsid w:val="00CC6383"/>
    <w:rsid w:val="00D50F3D"/>
    <w:rsid w:val="00DF14E2"/>
    <w:rsid w:val="00F06089"/>
    <w:rsid w:val="00FF6993"/>
    <w:rsid w:val="01232133"/>
    <w:rsid w:val="0DD65856"/>
    <w:rsid w:val="0F0467CA"/>
    <w:rsid w:val="132B58CC"/>
    <w:rsid w:val="15FF67A3"/>
    <w:rsid w:val="19A4105D"/>
    <w:rsid w:val="1E311C0F"/>
    <w:rsid w:val="23707AC6"/>
    <w:rsid w:val="2E996D68"/>
    <w:rsid w:val="2EB43D5F"/>
    <w:rsid w:val="37173543"/>
    <w:rsid w:val="3B5C4C1F"/>
    <w:rsid w:val="3CD63197"/>
    <w:rsid w:val="3FF76880"/>
    <w:rsid w:val="44A146E1"/>
    <w:rsid w:val="49874EA6"/>
    <w:rsid w:val="53145A0A"/>
    <w:rsid w:val="534105F2"/>
    <w:rsid w:val="53E144A4"/>
    <w:rsid w:val="5C9801F7"/>
    <w:rsid w:val="62DF3398"/>
    <w:rsid w:val="6B846F2B"/>
    <w:rsid w:val="6C3315DD"/>
    <w:rsid w:val="74A70B55"/>
    <w:rsid w:val="7AB7FF50"/>
    <w:rsid w:val="7BFEB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6089"/>
    <w:pPr>
      <w:widowControl w:val="0"/>
      <w:jc w:val="both"/>
    </w:pPr>
    <w:rPr>
      <w:kern w:val="2"/>
      <w:sz w:val="21"/>
      <w:szCs w:val="24"/>
    </w:rPr>
  </w:style>
  <w:style w:type="paragraph" w:styleId="2">
    <w:name w:val="heading 2"/>
    <w:basedOn w:val="a"/>
    <w:next w:val="a"/>
    <w:qFormat/>
    <w:rsid w:val="00F06089"/>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F06089"/>
    <w:pPr>
      <w:tabs>
        <w:tab w:val="center" w:pos="4153"/>
        <w:tab w:val="right" w:pos="8306"/>
      </w:tabs>
      <w:snapToGrid w:val="0"/>
      <w:jc w:val="left"/>
    </w:pPr>
    <w:rPr>
      <w:sz w:val="18"/>
      <w:szCs w:val="20"/>
    </w:rPr>
  </w:style>
  <w:style w:type="paragraph" w:styleId="a4">
    <w:name w:val="header"/>
    <w:basedOn w:val="a"/>
    <w:qFormat/>
    <w:rsid w:val="00F0608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rsid w:val="00F06089"/>
    <w:pPr>
      <w:ind w:firstLineChars="200" w:firstLine="420"/>
    </w:pPr>
    <w:rPr>
      <w:rFonts w:ascii="Calibri" w:hAnsi="Calibri" w:cs="黑体"/>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372</Words>
  <Characters>2121</Characters>
  <Application>Microsoft Office Word</Application>
  <DocSecurity>0</DocSecurity>
  <Lines>17</Lines>
  <Paragraphs>4</Paragraphs>
  <ScaleCrop>false</ScaleCrop>
  <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10947</cp:lastModifiedBy>
  <cp:revision>4</cp:revision>
  <cp:lastPrinted>2022-03-24T10:01:00Z</cp:lastPrinted>
  <dcterms:created xsi:type="dcterms:W3CDTF">2022-05-06T07:34:00Z</dcterms:created>
  <dcterms:modified xsi:type="dcterms:W3CDTF">2022-05-16T06:47:00Z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9A5226CC9826445B91F5D80FDDF22E6A</vt:lpwstr>
  </property>
</Properties>
</file>